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00"/>
      </w:tblGrid>
      <w:tr w:rsidR="0057783E" w:rsidRPr="0057783E" w:rsidTr="0057783E"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57783E" w:rsidRPr="0057783E" w:rsidRDefault="0057783E" w:rsidP="00577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83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fldChar w:fldCharType="begin"/>
            </w:r>
            <w:r w:rsidRPr="0057783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instrText xml:space="preserve"> HYPERLINK "http://work.elcode.ru/subscribe/link/?hash=283e9885864133f93d70ee4a09a992aa&amp;id_send=21586&amp;id_email=15730701&amp;url=https%3A%2F%2Flogin.consultant.ru%2Flink%2F%3Freq%3Ddoc%26base%3DLAW%26n%3D442347%26dst%3D100004&amp;uid_news=1938942&amp;cli=14868873" \t "_blank" </w:instrText>
            </w:r>
            <w:r w:rsidRPr="0057783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fldChar w:fldCharType="separate"/>
            </w:r>
            <w:r w:rsidRPr="0057783E">
              <w:rPr>
                <w:rFonts w:ascii="Arial" w:eastAsia="Times New Roman" w:hAnsi="Arial" w:cs="Arial"/>
                <w:b/>
                <w:bCs/>
                <w:color w:val="555555"/>
                <w:sz w:val="27"/>
                <w:lang w:eastAsia="ru-RU"/>
              </w:rPr>
              <w:t>1 сентября 2023 года вступит в силу закон о порядке предоставления коммунальной услуги газоснабжения</w:t>
            </w:r>
            <w:r w:rsidRPr="0057783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57783E" w:rsidRPr="0057783E" w:rsidTr="0057783E"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/>
            </w:tblPr>
            <w:tblGrid>
              <w:gridCol w:w="8100"/>
            </w:tblGrid>
            <w:tr w:rsidR="0057783E" w:rsidRPr="0057783E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57783E" w:rsidRPr="0057783E" w:rsidRDefault="0057783E" w:rsidP="00577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83E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Федеральный закон от 18.03.2023 N 71-ФЗ</w:t>
                  </w:r>
                </w:p>
              </w:tc>
            </w:tr>
          </w:tbl>
          <w:p w:rsidR="0057783E" w:rsidRPr="0057783E" w:rsidRDefault="0057783E" w:rsidP="00577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7783E" w:rsidRPr="0057783E" w:rsidTr="0057783E"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57783E" w:rsidRPr="0057783E" w:rsidRDefault="0057783E" w:rsidP="0057783E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7783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 целях регулирования деятельности по предоставлению коммунальной услуги газоснабжения Федеральным </w:t>
            </w:r>
            <w:hyperlink r:id="rId5" w:tgtFrame="_blank" w:history="1">
              <w:r w:rsidRPr="0057783E">
                <w:rPr>
                  <w:rFonts w:ascii="Arial" w:eastAsia="Times New Roman" w:hAnsi="Arial" w:cs="Arial"/>
                  <w:color w:val="00707B"/>
                  <w:sz w:val="21"/>
                  <w:u w:val="single"/>
                  <w:lang w:eastAsia="ru-RU"/>
                </w:rPr>
                <w:t>законом</w:t>
              </w:r>
            </w:hyperlink>
            <w:r w:rsidRPr="0057783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от 18.03.2023 N 71-ФЗ были внесены изменения в Федеральный </w:t>
            </w:r>
            <w:hyperlink r:id="rId6" w:tgtFrame="_blank" w:history="1">
              <w:r w:rsidRPr="0057783E">
                <w:rPr>
                  <w:rFonts w:ascii="Arial" w:eastAsia="Times New Roman" w:hAnsi="Arial" w:cs="Arial"/>
                  <w:color w:val="00707B"/>
                  <w:sz w:val="21"/>
                  <w:u w:val="single"/>
                  <w:lang w:eastAsia="ru-RU"/>
                </w:rPr>
                <w:t>закон</w:t>
              </w:r>
            </w:hyperlink>
            <w:r w:rsidRPr="0057783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от 31 марта 1999 года N 69-ФЗ "О газоснабжении в Российской Федерации" и Жилищный </w:t>
            </w:r>
            <w:hyperlink r:id="rId7" w:tgtFrame="_blank" w:history="1">
              <w:r w:rsidRPr="0057783E">
                <w:rPr>
                  <w:rFonts w:ascii="Arial" w:eastAsia="Times New Roman" w:hAnsi="Arial" w:cs="Arial"/>
                  <w:color w:val="00707B"/>
                  <w:sz w:val="21"/>
                  <w:u w:val="single"/>
                  <w:lang w:eastAsia="ru-RU"/>
                </w:rPr>
                <w:t>кодекс</w:t>
              </w:r>
            </w:hyperlink>
            <w:r w:rsidRPr="0057783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РФ.</w:t>
            </w:r>
          </w:p>
          <w:p w:rsidR="0057783E" w:rsidRPr="0057783E" w:rsidRDefault="0057783E" w:rsidP="0057783E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7783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Изменениями, в частности предусматривается, что в случае предоставления в МКД, деятельность по управлению которым осуществляет ЖК или ТСЖ, коммунальной услуги газоснабжения в уставе управляющей организации должна быть предусмотрена обязанность заключить со специализированной организацией договор о техобслуживании и ремонте внутридомового газового оборудования (если такое оборудование установлено).</w:t>
            </w:r>
          </w:p>
          <w:p w:rsidR="0057783E" w:rsidRPr="0057783E" w:rsidRDefault="0057783E" w:rsidP="0057783E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7783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 предмету государственного жилищного надзора отнесено соблюдение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МКД вентиляционных и дымовых каналов.</w:t>
            </w:r>
          </w:p>
          <w:p w:rsidR="0057783E" w:rsidRPr="0057783E" w:rsidRDefault="0057783E" w:rsidP="0057783E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7783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Кроме того, в новой </w:t>
            </w:r>
            <w:hyperlink r:id="rId8" w:tgtFrame="_blank" w:history="1">
              <w:r w:rsidRPr="0057783E">
                <w:rPr>
                  <w:rFonts w:ascii="Arial" w:eastAsia="Times New Roman" w:hAnsi="Arial" w:cs="Arial"/>
                  <w:color w:val="00707B"/>
                  <w:sz w:val="21"/>
                  <w:u w:val="single"/>
                  <w:lang w:eastAsia="ru-RU"/>
                </w:rPr>
                <w:t>статье 157.3</w:t>
              </w:r>
            </w:hyperlink>
            <w:r w:rsidRPr="0057783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ЖК РФ закрепляются условия предоставления коммунальной услуги газоснабжения.</w:t>
            </w:r>
          </w:p>
          <w:p w:rsidR="0057783E" w:rsidRPr="0057783E" w:rsidRDefault="0057783E" w:rsidP="0057783E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7783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Изменения вступят в силу 1 сентября 2023 года.</w:t>
            </w:r>
          </w:p>
          <w:p w:rsidR="0057783E" w:rsidRPr="0057783E" w:rsidRDefault="0057783E" w:rsidP="0057783E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7783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 этом установлено, что:</w:t>
            </w:r>
          </w:p>
          <w:p w:rsidR="0057783E" w:rsidRPr="0057783E" w:rsidRDefault="0057783E" w:rsidP="0057783E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7783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Договоры о техобслуживании внутридомового газового оборудования, заключенные собственниками жилых домов со специализированными организациями до дня вступления в силу настоящего Федерального закона, действуют до их прекращения или расторжения.</w:t>
            </w:r>
          </w:p>
          <w:p w:rsidR="0057783E" w:rsidRPr="0057783E" w:rsidRDefault="0057783E" w:rsidP="0057783E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7783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Договоры о техобслуживании внутриквартирного газового оборудования в МКД, заключенные до дня вступления в силу настоящего Федерального закона, действуют до их прекращения или расторжения, но не позднее 1 января 2024 года.</w:t>
            </w:r>
          </w:p>
          <w:p w:rsidR="0057783E" w:rsidRPr="0057783E" w:rsidRDefault="0057783E" w:rsidP="0057783E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7783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Договоры о техобслуживании и ремонте внутридомового газового оборудования в МКД, заключенные до дня вступления в силу настоящего Федерального закона, должны быть приведены в соответствие с положениями ЖК РФ (в редакции настоящего Федерального закона) до 1 января 2024 года.</w:t>
            </w:r>
          </w:p>
          <w:p w:rsidR="0057783E" w:rsidRPr="0057783E" w:rsidRDefault="0057783E" w:rsidP="0057783E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7783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Управляющие организации, осуществляющие деятельность по управлению МКД, в которых установлено газовое оборудование, обязаны привести договоры управления многоквартирными домами в соответствие с требованиями </w:t>
            </w:r>
            <w:hyperlink r:id="rId9" w:tgtFrame="_blank" w:history="1">
              <w:r w:rsidRPr="0057783E">
                <w:rPr>
                  <w:rFonts w:ascii="Arial" w:eastAsia="Times New Roman" w:hAnsi="Arial" w:cs="Arial"/>
                  <w:color w:val="00707B"/>
                  <w:sz w:val="21"/>
                  <w:u w:val="single"/>
                  <w:lang w:eastAsia="ru-RU"/>
                </w:rPr>
                <w:t>п. 5 ч. 3 ст. 162</w:t>
              </w:r>
            </w:hyperlink>
            <w:r w:rsidRPr="0057783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ЖК РФ в течение 90 дней со дня вступления в силу настоящего Федерального закона.</w:t>
            </w:r>
          </w:p>
          <w:p w:rsidR="0057783E" w:rsidRPr="0057783E" w:rsidRDefault="0057783E" w:rsidP="0057783E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7783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Жилищные и жилищно-строительные кооперативы, ТСЖ, </w:t>
            </w:r>
            <w:r w:rsidRPr="0057783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осуществляющие деятельность по управлению МКД, в которых установлено газовое оборудование, обязаны привести свои уставы в соответствие с требованиями </w:t>
            </w:r>
            <w:hyperlink r:id="rId10" w:tgtFrame="_blank" w:history="1">
              <w:proofErr w:type="gramStart"/>
              <w:r w:rsidRPr="0057783E">
                <w:rPr>
                  <w:rFonts w:ascii="Arial" w:eastAsia="Times New Roman" w:hAnsi="Arial" w:cs="Arial"/>
                  <w:color w:val="00707B"/>
                  <w:sz w:val="21"/>
                  <w:u w:val="single"/>
                  <w:lang w:eastAsia="ru-RU"/>
                </w:rPr>
                <w:t>ч</w:t>
              </w:r>
              <w:proofErr w:type="gramEnd"/>
              <w:r w:rsidRPr="0057783E">
                <w:rPr>
                  <w:rFonts w:ascii="Arial" w:eastAsia="Times New Roman" w:hAnsi="Arial" w:cs="Arial"/>
                  <w:color w:val="00707B"/>
                  <w:sz w:val="21"/>
                  <w:u w:val="single"/>
                  <w:lang w:eastAsia="ru-RU"/>
                </w:rPr>
                <w:t>. 1.2 ст. 113</w:t>
              </w:r>
            </w:hyperlink>
            <w:r w:rsidRPr="0057783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и </w:t>
            </w:r>
            <w:hyperlink r:id="rId11" w:tgtFrame="_blank" w:history="1">
              <w:r w:rsidRPr="0057783E">
                <w:rPr>
                  <w:rFonts w:ascii="Arial" w:eastAsia="Times New Roman" w:hAnsi="Arial" w:cs="Arial"/>
                  <w:color w:val="00707B"/>
                  <w:sz w:val="21"/>
                  <w:u w:val="single"/>
                  <w:lang w:eastAsia="ru-RU"/>
                </w:rPr>
                <w:t>ч. 2.2 ст. 135</w:t>
              </w:r>
            </w:hyperlink>
            <w:r w:rsidRPr="0057783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ЖК РФ в течение 90 дней со дня вступления в силу настоящего Федерального закона.</w:t>
            </w:r>
          </w:p>
        </w:tc>
      </w:tr>
      <w:tr w:rsidR="0057783E" w:rsidRPr="0057783E" w:rsidTr="0057783E"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57783E" w:rsidRPr="0057783E" w:rsidRDefault="0057783E" w:rsidP="0057783E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12" w:tgtFrame="_blank" w:history="1">
              <w:r w:rsidRPr="0057783E">
                <w:rPr>
                  <w:rStyle w:val="a3"/>
                  <w:rFonts w:ascii="Arial" w:eastAsia="Times New Roman" w:hAnsi="Arial" w:cs="Arial"/>
                  <w:sz w:val="21"/>
                  <w:szCs w:val="21"/>
                  <w:lang w:eastAsia="ru-RU"/>
                </w:rPr>
                <w:t>С 1 мая 2023 года вводятся ограничения размера платы, взимаемой в сервисе быстрых платежей при оплате ЖКУ</w:t>
              </w:r>
            </w:hyperlink>
          </w:p>
        </w:tc>
      </w:tr>
      <w:tr w:rsidR="0057783E" w:rsidRPr="0057783E" w:rsidTr="0057783E"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/>
            </w:tblPr>
            <w:tblGrid>
              <w:gridCol w:w="8100"/>
            </w:tblGrid>
            <w:tr w:rsidR="0057783E" w:rsidRPr="0057783E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57783E" w:rsidRPr="0057783E" w:rsidRDefault="0057783E" w:rsidP="00577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83E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Решение Совета директоров Банка России от 17.03.2023</w:t>
                  </w:r>
                </w:p>
              </w:tc>
            </w:tr>
          </w:tbl>
          <w:p w:rsidR="0057783E" w:rsidRPr="0057783E" w:rsidRDefault="0057783E" w:rsidP="0057783E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57783E" w:rsidRPr="0057783E" w:rsidTr="0057783E"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57783E" w:rsidRPr="0057783E" w:rsidRDefault="0057783E" w:rsidP="0057783E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13" w:tgtFrame="_blank" w:history="1">
              <w:r w:rsidRPr="0057783E">
                <w:rPr>
                  <w:rStyle w:val="a3"/>
                  <w:rFonts w:ascii="Arial" w:eastAsia="Times New Roman" w:hAnsi="Arial" w:cs="Arial"/>
                  <w:sz w:val="21"/>
                  <w:szCs w:val="21"/>
                  <w:lang w:eastAsia="ru-RU"/>
                </w:rPr>
                <w:t>Решением</w:t>
              </w:r>
            </w:hyperlink>
            <w:r w:rsidRPr="0057783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Совета директоров Банка России от 17.03.2023 установлена новая группа операций, действующая с 1 мая 2023 года: возврат денежных средств по ранее совершенной операции (с комиссией 0%) и оплата жилищно-коммунальных услуг.</w:t>
            </w:r>
          </w:p>
          <w:p w:rsidR="0057783E" w:rsidRPr="0057783E" w:rsidRDefault="0057783E" w:rsidP="0057783E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7783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 оплате ЖКУ ставки межбанковских вознаграждений, уплачиваемых в пользу кредитной организации плательщика (в т.ч. для кредитных организаций (</w:t>
            </w:r>
            <w:proofErr w:type="spellStart"/>
            <w:r w:rsidRPr="0057783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агрегаторов</w:t>
            </w:r>
            <w:proofErr w:type="spellEnd"/>
            <w:r w:rsidRPr="0057783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), выполняющих функции получателя платежа за услуги по договорам с </w:t>
            </w:r>
            <w:proofErr w:type="spellStart"/>
            <w:r w:rsidRPr="0057783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ресурсоснабжающими</w:t>
            </w:r>
            <w:proofErr w:type="spellEnd"/>
            <w:r w:rsidRPr="0057783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организациями), составят 0,10% от суммы перевода, но не более 5,00 руб. за перевод.</w:t>
            </w:r>
          </w:p>
          <w:p w:rsidR="0057783E" w:rsidRPr="0057783E" w:rsidRDefault="0057783E" w:rsidP="0057783E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7783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При этом максимальные значения размера платы, взимаемой </w:t>
            </w:r>
            <w:proofErr w:type="gramStart"/>
            <w:r w:rsidRPr="0057783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</w:t>
            </w:r>
            <w:proofErr w:type="gramEnd"/>
            <w:r w:rsidRPr="0057783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7783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ЮЛ</w:t>
            </w:r>
            <w:proofErr w:type="gramEnd"/>
            <w:r w:rsidRPr="0057783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, ИП и </w:t>
            </w:r>
            <w:proofErr w:type="spellStart"/>
            <w:r w:rsidRPr="0057783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самозанятых</w:t>
            </w:r>
            <w:proofErr w:type="spellEnd"/>
            <w:r w:rsidRPr="0057783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, установлены в размере 0,20% от суммы перевода, но не более 10,00 руб. за перевод; а максимальные значения размера платы, взимаемой с </w:t>
            </w:r>
            <w:proofErr w:type="spellStart"/>
            <w:r w:rsidRPr="0057783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физлиц</w:t>
            </w:r>
            <w:proofErr w:type="spellEnd"/>
            <w:r w:rsidRPr="0057783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, - 0 руб.</w:t>
            </w:r>
          </w:p>
        </w:tc>
      </w:tr>
    </w:tbl>
    <w:p w:rsidR="00FF3AD5" w:rsidRDefault="00FF3AD5"/>
    <w:sectPr w:rsidR="00FF3AD5" w:rsidSect="00FF3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B5564"/>
    <w:multiLevelType w:val="multilevel"/>
    <w:tmpl w:val="8EA8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83E"/>
    <w:rsid w:val="0057783E"/>
    <w:rsid w:val="006F1D33"/>
    <w:rsid w:val="00FF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8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7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k.elcode.ru/subscribe/link/?hash=283e9885864133f93d70ee4a09a992aa&amp;id_send=21586&amp;id_email=15730701&amp;url=https%3A%2F%2Flogin.consultant.ru%2Flink%2F%3Freq%3Ddoc%26amp%3Bbase%3DLAW%26amp%3Bn%3D442347%26amp%3Bdst%3D100027&amp;uid_news=1938942&amp;cli=14868873" TargetMode="External"/><Relationship Id="rId13" Type="http://schemas.openxmlformats.org/officeDocument/2006/relationships/hyperlink" Target="http://work.elcode.ru/subscribe/link/?hash=283e9885864133f93d70ee4a09a992aa&amp;id_send=21586&amp;id_email=15730701&amp;url=https%3A%2F%2Flogin.consultant.ru%2Flink%2F%3Freq%3Ddoc%26amp%3Bbase%3DLAW%26amp%3Bn%3D442502%26amp%3Bdst%3D100003&amp;uid_news=1938914&amp;cli=148688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ork.elcode.ru/subscribe/link/?hash=283e9885864133f93d70ee4a09a992aa&amp;id_send=21586&amp;id_email=15730701&amp;url=https%3A%2F%2Flogin.consultant.ru%2Flink%2F%3Freq%3Ddoc%26amp%3Bbase%3DLAW%26amp%3Bn%3D436786&amp;uid_news=1938942&amp;cli=14868873" TargetMode="External"/><Relationship Id="rId12" Type="http://schemas.openxmlformats.org/officeDocument/2006/relationships/hyperlink" Target="http://work.elcode.ru/subscribe/link/?hash=283e9885864133f93d70ee4a09a992aa&amp;id_send=21586&amp;id_email=15730701&amp;url=https%3A%2F%2Flogin.consultant.ru%2Flink%2F%3Freq%3Ddoc%26base%3DLAW%26n%3D442502%26dst%3D100003&amp;uid_news=1938914&amp;cli=148688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rk.elcode.ru/subscribe/link/?hash=283e9885864133f93d70ee4a09a992aa&amp;id_send=21586&amp;id_email=15730701&amp;url=https%3A%2F%2Flogin.consultant.ru%2Flink%2F%3Freq%3Ddoc%26amp%3Bbase%3DLAW%26amp%3Bn%3D422116&amp;uid_news=1938942&amp;cli=14868873" TargetMode="External"/><Relationship Id="rId11" Type="http://schemas.openxmlformats.org/officeDocument/2006/relationships/hyperlink" Target="http://work.elcode.ru/subscribe/link/?hash=283e9885864133f93d70ee4a09a992aa&amp;id_send=21586&amp;id_email=15730701&amp;url=https%3A%2F%2Flogin.consultant.ru%2Flink%2F%3Freq%3Ddoc%26amp%3Bbase%3DLAW%26amp%3Bn%3D442442%26amp%3Bdst%3D1100&amp;uid_news=1938942&amp;cli=14868873" TargetMode="External"/><Relationship Id="rId5" Type="http://schemas.openxmlformats.org/officeDocument/2006/relationships/hyperlink" Target="http://work.elcode.ru/subscribe/link/?hash=283e9885864133f93d70ee4a09a992aa&amp;id_send=21586&amp;id_email=15730701&amp;url=https%3A%2F%2Flogin.consultant.ru%2Flink%2F%3Freq%3Ddoc%26amp%3Bbase%3DLAW%26amp%3Bn%3D442347%26amp%3Bdst%3D100004&amp;uid_news=1938942&amp;cli=1486887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ork.elcode.ru/subscribe/link/?hash=283e9885864133f93d70ee4a09a992aa&amp;id_send=21586&amp;id_email=15730701&amp;url=https%3A%2F%2Flogin.consultant.ru%2Flink%2F%3Freq%3Ddoc%26amp%3Bbase%3DLAW%26amp%3Bn%3D442442%26amp%3Bdst%3D1099&amp;uid_news=1938942&amp;cli=148688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ork.elcode.ru/subscribe/link/?hash=283e9885864133f93d70ee4a09a992aa&amp;id_send=21586&amp;id_email=15730701&amp;url=https%3A%2F%2Flogin.consultant.ru%2Flink%2F%3Freq%3Ddoc%26amp%3Bbase%3DLAW%26amp%3Bn%3D442442%26amp%3Bdst%3D1119&amp;uid_news=1938942&amp;cli=1486887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dubina</dc:creator>
  <cp:lastModifiedBy>dubina</cp:lastModifiedBy>
  <cp:revision>1</cp:revision>
  <dcterms:created xsi:type="dcterms:W3CDTF">2023-04-03T09:04:00Z</dcterms:created>
  <dcterms:modified xsi:type="dcterms:W3CDTF">2023-04-03T10:07:00Z</dcterms:modified>
</cp:coreProperties>
</file>